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1D765">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3BC539E2">
      <w:pPr>
        <w:pStyle w:val="13"/>
        <w:keepNext w:val="0"/>
        <w:keepLines w:val="0"/>
        <w:pageBreakBefore w:val="0"/>
        <w:widowControl/>
        <w:suppressLineNumbers w:val="0"/>
        <w:suppressAutoHyphens w:val="0"/>
        <w:kinsoku/>
        <w:wordWrap/>
        <w:overflowPunct/>
        <w:topLinePunct w:val="0"/>
        <w:autoSpaceDE/>
        <w:autoSpaceDN/>
        <w:bidi w:val="0"/>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0D570733">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rPr>
      </w:pPr>
    </w:p>
    <w:p w14:paraId="0240FD4F">
      <w:pPr>
        <w:keepNext w:val="0"/>
        <w:keepLines w:val="0"/>
        <w:pageBreakBefore w:val="0"/>
        <w:kinsoku/>
        <w:wordWrap/>
        <w:overflowPunct/>
        <w:topLinePunct w:val="0"/>
        <w:autoSpaceDE/>
        <w:autoSpaceDN/>
        <w:bidi w:val="0"/>
        <w:spacing w:line="560" w:lineRule="exact"/>
        <w:ind w:left="0" w:leftChars="0" w:firstLine="640" w:firstLineChars="200"/>
        <w:jc w:val="righ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鸡环审〔202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w:t>
      </w:r>
      <w:r>
        <w:rPr>
          <w:rFonts w:hint="eastAsia" w:eastAsia="仿宋_GB2312" w:cs="Times New Roman"/>
          <w:color w:val="auto"/>
          <w:sz w:val="32"/>
          <w:szCs w:val="32"/>
          <w:highlight w:val="none"/>
          <w:lang w:val="en-US" w:eastAsia="zh-CN"/>
        </w:rPr>
        <w:t>62</w:t>
      </w:r>
      <w:r>
        <w:rPr>
          <w:rFonts w:hint="default" w:ascii="Times New Roman" w:hAnsi="Times New Roman" w:eastAsia="仿宋_GB2312" w:cs="Times New Roman"/>
          <w:sz w:val="32"/>
          <w:szCs w:val="32"/>
          <w:highlight w:val="none"/>
        </w:rPr>
        <w:t>号</w:t>
      </w:r>
    </w:p>
    <w:p w14:paraId="5C56C603">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Cs/>
          <w:sz w:val="32"/>
          <w:szCs w:val="32"/>
          <w:shd w:val="clear" w:color="auto" w:fill="auto"/>
        </w:rPr>
      </w:pPr>
    </w:p>
    <w:p w14:paraId="7AC47D84">
      <w:pPr>
        <w:pStyle w:val="14"/>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Times New Roman" w:hAnsi="Times New Roman" w:eastAsia="方正小标宋_GBK" w:cs="Times New Roman"/>
          <w:spacing w:val="-6"/>
          <w:kern w:val="2"/>
          <w:sz w:val="44"/>
          <w:szCs w:val="44"/>
          <w:shd w:val="clear" w:color="auto" w:fill="auto"/>
        </w:rPr>
      </w:pPr>
      <w:r>
        <w:rPr>
          <w:rFonts w:hint="default" w:ascii="Times New Roman" w:hAnsi="Times New Roman" w:eastAsia="方正小标宋_GBK" w:cs="Times New Roman"/>
          <w:spacing w:val="-6"/>
          <w:sz w:val="44"/>
          <w:szCs w:val="44"/>
          <w:shd w:val="clear" w:color="auto" w:fill="auto"/>
        </w:rPr>
        <w:t>关</w:t>
      </w:r>
      <w:r>
        <w:rPr>
          <w:rFonts w:hint="default" w:ascii="Times New Roman" w:hAnsi="Times New Roman" w:eastAsia="方正小标宋_GBK" w:cs="Times New Roman"/>
          <w:spacing w:val="-6"/>
          <w:kern w:val="2"/>
          <w:sz w:val="44"/>
          <w:szCs w:val="44"/>
          <w:shd w:val="clear" w:color="auto" w:fill="auto"/>
        </w:rPr>
        <w:t>于</w:t>
      </w:r>
      <w:r>
        <w:rPr>
          <w:rFonts w:hint="eastAsia" w:ascii="Times New Roman" w:hAnsi="Times New Roman" w:eastAsia="方正小标宋_GBK" w:cs="Times New Roman"/>
          <w:spacing w:val="-6"/>
          <w:kern w:val="2"/>
          <w:sz w:val="44"/>
          <w:szCs w:val="44"/>
          <w:shd w:val="clear" w:color="auto" w:fill="auto"/>
          <w:lang w:val="en-US" w:eastAsia="zh-CN"/>
        </w:rPr>
        <w:t>黑龙江龙煤鸡西矿业有限责任公司平岗煤矿副立井工业场地新建锅炉房项目</w:t>
      </w:r>
      <w:r>
        <w:rPr>
          <w:rFonts w:hint="default" w:ascii="Times New Roman" w:hAnsi="Times New Roman" w:eastAsia="方正小标宋_GBK" w:cs="Times New Roman"/>
          <w:spacing w:val="-6"/>
          <w:kern w:val="2"/>
          <w:sz w:val="44"/>
          <w:szCs w:val="44"/>
          <w:shd w:val="clear" w:color="auto" w:fill="auto"/>
          <w:lang w:val="en-US" w:eastAsia="zh-CN"/>
        </w:rPr>
        <w:t>生态</w:t>
      </w:r>
      <w:r>
        <w:rPr>
          <w:rFonts w:hint="default" w:ascii="Times New Roman" w:hAnsi="Times New Roman" w:eastAsia="方正小标宋_GBK" w:cs="Times New Roman"/>
          <w:spacing w:val="-6"/>
          <w:kern w:val="2"/>
          <w:sz w:val="44"/>
          <w:szCs w:val="44"/>
          <w:shd w:val="clear" w:color="auto" w:fill="auto"/>
          <w:lang w:eastAsia="zh-CN"/>
        </w:rPr>
        <w:t>环境影响报告</w:t>
      </w:r>
      <w:r>
        <w:rPr>
          <w:rFonts w:hint="eastAsia" w:eastAsia="方正小标宋_GBK" w:cs="Times New Roman"/>
          <w:spacing w:val="-6"/>
          <w:kern w:val="2"/>
          <w:sz w:val="44"/>
          <w:szCs w:val="44"/>
          <w:shd w:val="clear" w:color="auto" w:fill="auto"/>
          <w:lang w:eastAsia="zh-CN"/>
        </w:rPr>
        <w:t>书</w:t>
      </w:r>
      <w:r>
        <w:rPr>
          <w:rFonts w:hint="default" w:ascii="Times New Roman" w:hAnsi="Times New Roman" w:eastAsia="方正小标宋_GBK" w:cs="Times New Roman"/>
          <w:spacing w:val="-6"/>
          <w:sz w:val="44"/>
          <w:szCs w:val="44"/>
          <w:shd w:val="clear" w:color="auto" w:fill="auto"/>
        </w:rPr>
        <w:t>的批复</w:t>
      </w:r>
    </w:p>
    <w:p w14:paraId="1CA276C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32CAAFD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黑龙江龙煤鸡西矿业有限责任公司</w:t>
      </w:r>
      <w:r>
        <w:rPr>
          <w:rFonts w:hint="default" w:ascii="Times New Roman" w:hAnsi="Times New Roman" w:eastAsia="仿宋_GB2312" w:cs="Times New Roman"/>
          <w:color w:val="auto"/>
          <w:kern w:val="0"/>
          <w:sz w:val="32"/>
          <w:szCs w:val="32"/>
        </w:rPr>
        <w:t>：</w:t>
      </w:r>
    </w:p>
    <w:p w14:paraId="173CEA8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rPr>
        <w:t>你单位《关于申</w:t>
      </w:r>
      <w:r>
        <w:rPr>
          <w:rFonts w:hint="default" w:ascii="Times New Roman" w:hAnsi="Times New Roman" w:eastAsia="仿宋_GB2312" w:cs="Times New Roman"/>
          <w:color w:val="auto"/>
          <w:spacing w:val="-6"/>
          <w:sz w:val="32"/>
          <w:szCs w:val="32"/>
        </w:rPr>
        <w:t>请</w:t>
      </w:r>
      <w:r>
        <w:rPr>
          <w:rFonts w:hint="default" w:ascii="Times New Roman" w:hAnsi="Times New Roman" w:eastAsia="仿宋_GB2312" w:cs="Times New Roman"/>
          <w:color w:val="auto"/>
          <w:spacing w:val="-6"/>
          <w:sz w:val="32"/>
          <w:szCs w:val="32"/>
          <w:lang w:eastAsia="zh-CN"/>
        </w:rPr>
        <w:t>黑龙江龙煤鸡西矿业有限责任公司平岗煤矿副立井工业场地新建锅炉房项目生态</w:t>
      </w:r>
      <w:r>
        <w:rPr>
          <w:rFonts w:hint="default" w:ascii="Times New Roman" w:hAnsi="Times New Roman" w:eastAsia="仿宋_GB2312" w:cs="Times New Roman"/>
          <w:color w:val="auto"/>
          <w:spacing w:val="-6"/>
          <w:sz w:val="32"/>
          <w:szCs w:val="32"/>
        </w:rPr>
        <w:t>环境影响评价文件的函</w:t>
      </w:r>
      <w:r>
        <w:rPr>
          <w:rFonts w:hint="default" w:ascii="Times New Roman" w:hAnsi="Times New Roman" w:eastAsia="仿宋_GB2312" w:cs="Times New Roman"/>
          <w:color w:val="auto"/>
          <w:kern w:val="0"/>
          <w:sz w:val="32"/>
          <w:szCs w:val="32"/>
        </w:rPr>
        <w:t>》及相关材料收悉，经研究，批复如下。</w:t>
      </w:r>
    </w:p>
    <w:p w14:paraId="492606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一、项目基本情况</w:t>
      </w:r>
    </w:p>
    <w:p w14:paraId="7CF651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该项目属</w:t>
      </w:r>
      <w:r>
        <w:rPr>
          <w:rFonts w:hint="eastAsia" w:ascii="Times New Roman" w:hAnsi="Times New Roman" w:eastAsia="仿宋_GB2312" w:cs="Times New Roman"/>
          <w:color w:val="auto"/>
          <w:kern w:val="0"/>
          <w:sz w:val="32"/>
          <w:szCs w:val="32"/>
          <w:lang w:val="en-US" w:eastAsia="zh-CN"/>
        </w:rPr>
        <w:t>新</w:t>
      </w:r>
      <w:r>
        <w:rPr>
          <w:rFonts w:hint="default" w:ascii="Times New Roman" w:hAnsi="Times New Roman" w:eastAsia="仿宋_GB2312" w:cs="Times New Roman"/>
          <w:color w:val="auto"/>
          <w:kern w:val="0"/>
          <w:sz w:val="32"/>
          <w:szCs w:val="32"/>
          <w:lang w:val="en-US" w:eastAsia="zh-CN"/>
        </w:rPr>
        <w:t>建工程，拟建于</w:t>
      </w:r>
      <w:r>
        <w:rPr>
          <w:rFonts w:hint="eastAsia" w:ascii="Times New Roman" w:hAnsi="Times New Roman" w:eastAsia="仿宋_GB2312" w:cs="Times New Roman"/>
          <w:color w:val="auto"/>
          <w:kern w:val="0"/>
          <w:sz w:val="32"/>
          <w:szCs w:val="32"/>
          <w:lang w:val="en-US" w:eastAsia="zh-CN"/>
        </w:rPr>
        <w:t>鸡西市</w:t>
      </w:r>
      <w:r>
        <w:rPr>
          <w:rFonts w:hint="eastAsia" w:eastAsia="仿宋_GB2312" w:cs="Times New Roman"/>
          <w:color w:val="auto"/>
          <w:kern w:val="0"/>
          <w:sz w:val="32"/>
          <w:szCs w:val="32"/>
          <w:lang w:val="en-US" w:eastAsia="zh-CN"/>
        </w:rPr>
        <w:t>梨树区</w:t>
      </w:r>
      <w:r>
        <w:rPr>
          <w:rFonts w:hint="eastAsia" w:ascii="Times New Roman" w:hAnsi="Times New Roman" w:eastAsia="仿宋_GB2312" w:cs="Times New Roman"/>
          <w:color w:val="auto"/>
          <w:kern w:val="0"/>
          <w:sz w:val="32"/>
          <w:szCs w:val="32"/>
          <w:lang w:val="en-US" w:eastAsia="zh-CN"/>
        </w:rPr>
        <w:t>平岗煤矿副立井工业场地西南角</w:t>
      </w:r>
      <w:r>
        <w:rPr>
          <w:rFonts w:hint="default" w:ascii="Times New Roman" w:hAnsi="Times New Roman" w:eastAsia="仿宋_GB2312" w:cs="Times New Roman"/>
          <w:color w:val="auto"/>
          <w:kern w:val="0"/>
          <w:sz w:val="32"/>
          <w:szCs w:val="32"/>
          <w:lang w:val="en-US" w:eastAsia="zh-CN"/>
        </w:rPr>
        <w:t>，占地面积</w:t>
      </w:r>
      <w:r>
        <w:rPr>
          <w:rFonts w:hint="eastAsia" w:eastAsia="仿宋_GB2312" w:cs="Times New Roman"/>
          <w:color w:val="auto"/>
          <w:kern w:val="0"/>
          <w:sz w:val="32"/>
          <w:szCs w:val="32"/>
          <w:lang w:val="en-US" w:eastAsia="zh-CN"/>
        </w:rPr>
        <w:t xml:space="preserve">3100 </w:t>
      </w:r>
      <w:r>
        <w:rPr>
          <w:rFonts w:hint="default" w:ascii="Times New Roman" w:hAnsi="Times New Roman" w:eastAsia="仿宋_GB2312" w:cs="Times New Roman"/>
          <w:color w:val="auto"/>
          <w:kern w:val="0"/>
          <w:sz w:val="32"/>
          <w:szCs w:val="32"/>
          <w:lang w:val="en-US" w:eastAsia="zh-CN"/>
        </w:rPr>
        <w:t>m²</w:t>
      </w:r>
      <w:r>
        <w:rPr>
          <w:rFonts w:hint="eastAsia" w:eastAsia="仿宋_GB2312" w:cs="Times New Roman"/>
          <w:color w:val="auto"/>
          <w:kern w:val="0"/>
          <w:sz w:val="32"/>
          <w:szCs w:val="32"/>
          <w:lang w:val="en-US" w:eastAsia="zh-CN"/>
        </w:rPr>
        <w:t>。项目新建2台29MW燃煤热水锅炉（一用一备）及其配套环保工程、储运工程、辅助工程等。项目建成后，锅炉年运行2625小时。</w:t>
      </w:r>
      <w:r>
        <w:rPr>
          <w:rFonts w:hint="default" w:ascii="Times New Roman" w:hAnsi="Times New Roman" w:eastAsia="仿宋_GB2312" w:cs="Times New Roman"/>
          <w:color w:val="auto"/>
          <w:kern w:val="0"/>
          <w:sz w:val="32"/>
          <w:szCs w:val="32"/>
          <w:lang w:val="en-US" w:eastAsia="zh-CN"/>
        </w:rPr>
        <w:t>项目总投资</w:t>
      </w:r>
      <w:r>
        <w:rPr>
          <w:rFonts w:hint="eastAsia" w:ascii="Times New Roman" w:hAnsi="Times New Roman" w:eastAsia="仿宋_GB2312" w:cs="Times New Roman"/>
          <w:color w:val="auto"/>
          <w:kern w:val="0"/>
          <w:sz w:val="32"/>
          <w:szCs w:val="32"/>
          <w:lang w:val="en-US" w:eastAsia="zh-CN"/>
        </w:rPr>
        <w:t>6124.65</w:t>
      </w:r>
      <w:r>
        <w:rPr>
          <w:rFonts w:hint="default" w:ascii="Times New Roman" w:hAnsi="Times New Roman" w:eastAsia="仿宋_GB2312" w:cs="Times New Roman"/>
          <w:color w:val="auto"/>
          <w:kern w:val="0"/>
          <w:sz w:val="32"/>
          <w:szCs w:val="32"/>
          <w:lang w:val="en-US" w:eastAsia="zh-CN"/>
        </w:rPr>
        <w:t>万元，</w:t>
      </w:r>
      <w:r>
        <w:rPr>
          <w:rFonts w:hint="eastAsia" w:eastAsia="仿宋_GB2312" w:cs="Times New Roman"/>
          <w:color w:val="auto"/>
          <w:kern w:val="0"/>
          <w:sz w:val="32"/>
          <w:szCs w:val="32"/>
          <w:lang w:val="en-US" w:eastAsia="zh-CN"/>
        </w:rPr>
        <w:t>其中</w:t>
      </w:r>
      <w:r>
        <w:rPr>
          <w:rFonts w:hint="default" w:ascii="Times New Roman" w:hAnsi="Times New Roman" w:eastAsia="仿宋_GB2312" w:cs="Times New Roman"/>
          <w:color w:val="auto"/>
          <w:kern w:val="0"/>
          <w:sz w:val="32"/>
          <w:szCs w:val="32"/>
          <w:lang w:val="en-US" w:eastAsia="zh-CN"/>
        </w:rPr>
        <w:t>环保投资</w:t>
      </w:r>
      <w:r>
        <w:rPr>
          <w:rFonts w:hint="eastAsia" w:eastAsia="仿宋_GB2312" w:cs="Times New Roman"/>
          <w:color w:val="auto"/>
          <w:kern w:val="0"/>
          <w:sz w:val="32"/>
          <w:szCs w:val="32"/>
          <w:lang w:val="en-US" w:eastAsia="zh-CN"/>
        </w:rPr>
        <w:t>188</w:t>
      </w:r>
      <w:r>
        <w:rPr>
          <w:rFonts w:hint="default" w:ascii="Times New Roman" w:hAnsi="Times New Roman" w:eastAsia="仿宋_GB2312" w:cs="Times New Roman"/>
          <w:color w:val="auto"/>
          <w:kern w:val="0"/>
          <w:sz w:val="32"/>
          <w:szCs w:val="32"/>
          <w:lang w:val="en-US" w:eastAsia="zh-CN"/>
        </w:rPr>
        <w:t>万元</w:t>
      </w:r>
      <w:r>
        <w:rPr>
          <w:rFonts w:hint="eastAsia" w:ascii="Times New Roman" w:hAnsi="Times New Roman" w:eastAsia="仿宋_GB2312" w:cs="Times New Roman"/>
          <w:color w:val="auto"/>
          <w:kern w:val="0"/>
          <w:sz w:val="32"/>
          <w:szCs w:val="32"/>
          <w:lang w:val="en-US" w:eastAsia="zh-CN"/>
        </w:rPr>
        <w:t>。</w:t>
      </w:r>
    </w:p>
    <w:p w14:paraId="3DE5FE7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kern w:val="0"/>
          <w:sz w:val="32"/>
          <w:szCs w:val="32"/>
          <w:lang w:val="en-US" w:eastAsia="zh-CN"/>
        </w:rPr>
        <w:t>该项目在全面落实《</w:t>
      </w:r>
      <w:r>
        <w:rPr>
          <w:rFonts w:hint="default" w:ascii="Times New Roman" w:hAnsi="Times New Roman" w:eastAsia="仿宋_GB2312" w:cs="Times New Roman"/>
          <w:color w:val="auto"/>
          <w:spacing w:val="-6"/>
          <w:sz w:val="32"/>
          <w:szCs w:val="32"/>
          <w:lang w:eastAsia="zh-CN"/>
        </w:rPr>
        <w:t>黑龙江龙煤鸡西矿业有限责任公司平岗煤矿副立井工业场地新建锅炉房项目</w:t>
      </w:r>
      <w:r>
        <w:rPr>
          <w:rFonts w:hint="default" w:ascii="Times New Roman" w:hAnsi="Times New Roman" w:eastAsia="仿宋_GB2312" w:cs="Times New Roman"/>
          <w:color w:val="auto"/>
          <w:kern w:val="0"/>
          <w:sz w:val="32"/>
          <w:szCs w:val="32"/>
          <w:lang w:val="en-US" w:eastAsia="zh-CN"/>
        </w:rPr>
        <w:t>生态环境影响报告</w:t>
      </w:r>
      <w:r>
        <w:rPr>
          <w:rFonts w:hint="eastAsia" w:eastAsia="仿宋_GB2312" w:cs="Times New Roman"/>
          <w:color w:val="auto"/>
          <w:kern w:val="0"/>
          <w:sz w:val="32"/>
          <w:szCs w:val="32"/>
          <w:lang w:val="en-US" w:eastAsia="zh-CN"/>
        </w:rPr>
        <w:t>书</w:t>
      </w:r>
      <w:r>
        <w:rPr>
          <w:rFonts w:hint="default" w:ascii="Times New Roman" w:hAnsi="Times New Roman" w:eastAsia="仿宋_GB2312" w:cs="Times New Roman"/>
          <w:color w:val="auto"/>
          <w:kern w:val="0"/>
          <w:sz w:val="32"/>
          <w:szCs w:val="32"/>
          <w:lang w:val="en-US" w:eastAsia="zh-CN"/>
        </w:rPr>
        <w:t>》（以下简称《报告</w:t>
      </w:r>
      <w:r>
        <w:rPr>
          <w:rFonts w:hint="eastAsia" w:eastAsia="仿宋_GB2312" w:cs="Times New Roman"/>
          <w:color w:val="auto"/>
          <w:kern w:val="0"/>
          <w:sz w:val="32"/>
          <w:szCs w:val="32"/>
          <w:lang w:val="en-US" w:eastAsia="zh-CN"/>
        </w:rPr>
        <w:t>书</w:t>
      </w:r>
      <w:r>
        <w:rPr>
          <w:rFonts w:hint="default" w:ascii="Times New Roman" w:hAnsi="Times New Roman" w:eastAsia="仿宋_GB2312" w:cs="Times New Roman"/>
          <w:color w:val="auto"/>
          <w:kern w:val="0"/>
          <w:sz w:val="32"/>
          <w:szCs w:val="32"/>
          <w:lang w:val="en-US" w:eastAsia="zh-CN"/>
        </w:rPr>
        <w:t>》）和本批复提出的各项生态环境保护措施后，对</w:t>
      </w:r>
      <w:r>
        <w:rPr>
          <w:rFonts w:hint="eastAsia" w:eastAsia="仿宋_GB2312" w:cs="Times New Roman"/>
          <w:color w:val="auto"/>
          <w:kern w:val="0"/>
          <w:sz w:val="32"/>
          <w:szCs w:val="32"/>
          <w:lang w:val="en-US" w:eastAsia="zh-CN"/>
        </w:rPr>
        <w:t>生态</w:t>
      </w:r>
      <w:r>
        <w:rPr>
          <w:rFonts w:hint="default" w:ascii="Times New Roman" w:hAnsi="Times New Roman" w:eastAsia="仿宋_GB2312" w:cs="Times New Roman"/>
          <w:color w:val="auto"/>
          <w:kern w:val="0"/>
          <w:sz w:val="32"/>
          <w:szCs w:val="32"/>
          <w:lang w:val="en-US" w:eastAsia="zh-CN"/>
        </w:rPr>
        <w:t>环境的不利影响可以得到缓解和控制。</w:t>
      </w:r>
      <w:r>
        <w:rPr>
          <w:rFonts w:hint="default" w:ascii="Times New Roman" w:hAnsi="Times New Roman" w:eastAsia="仿宋_GB2312" w:cs="Times New Roman"/>
          <w:color w:val="auto"/>
          <w:sz w:val="32"/>
          <w:szCs w:val="32"/>
          <w:highlight w:val="none"/>
        </w:rPr>
        <w:t>我局原则同意</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报告</w:t>
      </w:r>
      <w:r>
        <w:rPr>
          <w:rFonts w:hint="eastAsia" w:eastAsia="仿宋_GB2312" w:cs="Times New Roman"/>
          <w:color w:val="auto"/>
          <w:sz w:val="32"/>
          <w:szCs w:val="32"/>
          <w:highlight w:val="none"/>
          <w:lang w:eastAsia="zh-CN"/>
        </w:rPr>
        <w:t>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中的</w:t>
      </w:r>
      <w:r>
        <w:rPr>
          <w:rFonts w:hint="eastAsia" w:eastAsia="仿宋_GB2312" w:cs="Times New Roman"/>
          <w:color w:val="auto"/>
          <w:sz w:val="32"/>
          <w:szCs w:val="32"/>
          <w:highlight w:val="none"/>
          <w:lang w:eastAsia="zh-CN"/>
        </w:rPr>
        <w:t>生态</w:t>
      </w:r>
      <w:r>
        <w:rPr>
          <w:rFonts w:hint="default" w:ascii="Times New Roman" w:hAnsi="Times New Roman" w:eastAsia="仿宋_GB2312" w:cs="Times New Roman"/>
          <w:color w:val="auto"/>
          <w:sz w:val="32"/>
          <w:szCs w:val="32"/>
          <w:highlight w:val="none"/>
        </w:rPr>
        <w:t>环境影响评价总体结论和各项生态环境保护措施。</w:t>
      </w:r>
    </w:p>
    <w:p w14:paraId="2E6CF3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二、项目建设的主要生态环境影响及保护措施</w:t>
      </w:r>
    </w:p>
    <w:p w14:paraId="0541D7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_GB2312" w:cs="Times New Roman"/>
          <w:color w:val="000000"/>
          <w:sz w:val="32"/>
          <w:szCs w:val="32"/>
          <w:highlight w:val="none"/>
        </w:rPr>
        <w:t>（一）施工期环境影响及保护措施。</w:t>
      </w:r>
      <w:r>
        <w:rPr>
          <w:rFonts w:hint="eastAsia" w:ascii="Times New Roman" w:hAnsi="Times New Roman" w:eastAsia="仿宋_GB2312" w:cs="仿宋_GB2312"/>
          <w:color w:val="auto"/>
          <w:sz w:val="32"/>
          <w:szCs w:val="32"/>
          <w:lang w:val="en-US" w:eastAsia="zh-CN"/>
        </w:rPr>
        <w:t>施工场地</w:t>
      </w:r>
      <w:r>
        <w:rPr>
          <w:rFonts w:hint="eastAsia" w:ascii="Times New Roman" w:hAnsi="Times New Roman" w:eastAsia="仿宋_GB2312" w:cs="仿宋_GB2312"/>
          <w:color w:val="auto"/>
          <w:sz w:val="32"/>
          <w:szCs w:val="32"/>
          <w:lang w:eastAsia="zh-CN"/>
        </w:rPr>
        <w:t>设置围挡，运输车辆遮盖苫布，按时洒水降尘，施工期颗粒物排放应符合《大气污染物综合排放标准》（GB16297-1996）要求。生活污水排入防渗旱厕，定期清掏，外运堆肥。</w:t>
      </w:r>
      <w:r>
        <w:rPr>
          <w:rFonts w:hint="eastAsia" w:eastAsia="仿宋_GB2312" w:cs="仿宋_GB2312"/>
          <w:color w:val="auto"/>
          <w:sz w:val="32"/>
          <w:szCs w:val="32"/>
          <w:lang w:eastAsia="zh-CN"/>
        </w:rPr>
        <w:t>施工废水经沉淀后回用，不外排。</w:t>
      </w:r>
      <w:r>
        <w:rPr>
          <w:rFonts w:hint="eastAsia" w:ascii="Times New Roman" w:hAnsi="Times New Roman" w:eastAsia="仿宋_GB2312" w:cs="仿宋_GB2312"/>
          <w:color w:val="auto"/>
          <w:sz w:val="32"/>
          <w:szCs w:val="32"/>
          <w:lang w:eastAsia="zh-CN"/>
        </w:rPr>
        <w:t>选用低噪声</w:t>
      </w:r>
      <w:r>
        <w:rPr>
          <w:rFonts w:hint="eastAsia" w:eastAsia="仿宋_GB2312" w:cs="仿宋_GB2312"/>
          <w:color w:val="auto"/>
          <w:sz w:val="32"/>
          <w:szCs w:val="32"/>
          <w:lang w:eastAsia="zh-CN"/>
        </w:rPr>
        <w:t>设备</w:t>
      </w:r>
      <w:bookmarkStart w:id="0" w:name="_GoBack"/>
      <w:bookmarkEnd w:id="0"/>
      <w:r>
        <w:rPr>
          <w:rFonts w:hint="eastAsia" w:ascii="Times New Roman" w:hAnsi="Times New Roman" w:eastAsia="仿宋_GB2312" w:cs="仿宋_GB2312"/>
          <w:color w:val="auto"/>
          <w:sz w:val="32"/>
          <w:szCs w:val="32"/>
          <w:lang w:eastAsia="zh-CN"/>
        </w:rPr>
        <w:t>，加设隔声屏障，合理安排施工时间，施工期噪声排放应符合《建筑施工噪声排放标准》（GB12523-2025）要求。建筑垃圾及时清运至指定地点处置，生活垃圾统一收集，定期送往环卫部门指定点处置。</w:t>
      </w:r>
    </w:p>
    <w:p w14:paraId="65051D7A">
      <w:pPr>
        <w:pStyle w:val="2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hAnsi="仿宋_GB2312" w:eastAsia="仿宋_GB2312" w:cs="仿宋_GB2312"/>
          <w:color w:val="000000"/>
          <w:sz w:val="32"/>
          <w:szCs w:val="32"/>
          <w:highlight w:val="none"/>
          <w:lang w:val="en-US" w:eastAsia="zh-CN"/>
        </w:rPr>
      </w:pPr>
      <w:r>
        <w:rPr>
          <w:rFonts w:hint="default" w:ascii="Times New Roman" w:hAnsi="Times New Roman" w:eastAsia="楷体_GB2312" w:cs="Times New Roman"/>
          <w:color w:val="000000"/>
          <w:sz w:val="32"/>
          <w:szCs w:val="32"/>
          <w:highlight w:val="none"/>
        </w:rPr>
        <w:t>（二）</w:t>
      </w:r>
      <w:r>
        <w:rPr>
          <w:rFonts w:hint="default" w:ascii="Times New Roman" w:hAnsi="Times New Roman" w:eastAsia="楷体_GB2312" w:cs="Times New Roman"/>
          <w:color w:val="000000"/>
          <w:sz w:val="32"/>
          <w:szCs w:val="32"/>
          <w:highlight w:val="none"/>
          <w:lang w:eastAsia="zh-CN"/>
        </w:rPr>
        <w:t>大气</w:t>
      </w:r>
      <w:r>
        <w:rPr>
          <w:rFonts w:hint="default" w:ascii="Times New Roman" w:hAnsi="Times New Roman" w:eastAsia="楷体_GB2312" w:cs="Times New Roman"/>
          <w:color w:val="000000"/>
          <w:sz w:val="32"/>
          <w:szCs w:val="32"/>
          <w:highlight w:val="none"/>
        </w:rPr>
        <w:t>环境影响及保护措施。</w:t>
      </w:r>
      <w:r>
        <w:rPr>
          <w:rFonts w:hint="default" w:ascii="Times New Roman" w:hAnsi="Times New Roman" w:eastAsia="仿宋_GB2312" w:cs="Times New Roman"/>
          <w:color w:val="000000"/>
          <w:sz w:val="32"/>
          <w:szCs w:val="32"/>
          <w:highlight w:val="none"/>
          <w:lang w:eastAsia="zh-CN"/>
        </w:rPr>
        <w:t>项目锅炉烟气经SNCR脱硝、布袋除尘器除尘、石灰-石膏湿法脱硫处理后通过</w:t>
      </w:r>
      <w:r>
        <w:rPr>
          <w:rFonts w:hint="default" w:ascii="Times New Roman" w:hAnsi="Times New Roman" w:eastAsia="仿宋_GB2312" w:cs="Times New Roman"/>
          <w:color w:val="000000"/>
          <w:sz w:val="32"/>
          <w:szCs w:val="32"/>
          <w:highlight w:val="none"/>
          <w:lang w:val="en-US" w:eastAsia="zh-CN"/>
        </w:rPr>
        <w:t>45米高烟囱排放，颗粒物、二氧化硫、氮氧化物、烟气黑度排放应符合《锅炉大气污染物排放标准》（GB13271-2014）要求。储煤间、灰渣间全封闭，运输车辆加盖苫布，石灰采用专用密闭车辆运输，定期洒水降尘，无组织颗粒物排放应符合《</w:t>
      </w:r>
      <w:r>
        <w:rPr>
          <w:rFonts w:hint="default" w:ascii="Times New Roman" w:hAnsi="Times New Roman" w:eastAsia="仿宋_GB2312" w:cs="Times New Roman"/>
          <w:color w:val="auto"/>
          <w:sz w:val="32"/>
          <w:szCs w:val="32"/>
          <w:lang w:eastAsia="zh-CN"/>
        </w:rPr>
        <w:t>大气污染物综合排放标准</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auto"/>
          <w:sz w:val="32"/>
          <w:szCs w:val="32"/>
          <w:lang w:eastAsia="zh-CN"/>
        </w:rPr>
        <w:t>（GB16297-1996）要求。</w:t>
      </w:r>
    </w:p>
    <w:p w14:paraId="3DD3846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eastAsia="仿宋_GB2312" w:cs="Times New Roman"/>
          <w:sz w:val="32"/>
          <w:szCs w:val="32"/>
          <w:highlight w:val="none"/>
          <w:lang w:val="en-US" w:eastAsia="zh-CN"/>
        </w:rPr>
      </w:pPr>
      <w:r>
        <w:rPr>
          <w:rFonts w:hint="default" w:ascii="Times New Roman" w:hAnsi="Times New Roman" w:eastAsia="楷体_GB2312" w:cs="Times New Roman"/>
          <w:color w:val="000000"/>
          <w:kern w:val="2"/>
          <w:sz w:val="32"/>
          <w:szCs w:val="32"/>
          <w:highlight w:val="none"/>
          <w:lang w:val="en-US" w:eastAsia="zh-CN" w:bidi="ar-SA"/>
        </w:rPr>
        <w:t>（三）水环境影响及保护措施</w:t>
      </w:r>
      <w:r>
        <w:rPr>
          <w:rFonts w:hint="eastAsia" w:eastAsia="楷体_GB2312" w:cs="Times New Roman"/>
          <w:color w:val="000000"/>
          <w:kern w:val="2"/>
          <w:sz w:val="32"/>
          <w:szCs w:val="32"/>
          <w:highlight w:val="none"/>
          <w:lang w:val="en-US" w:eastAsia="zh-CN" w:bidi="ar-SA"/>
        </w:rPr>
        <w:t>。</w:t>
      </w:r>
      <w:r>
        <w:rPr>
          <w:rFonts w:hint="eastAsia" w:eastAsia="仿宋_GB2312" w:cs="Times New Roman"/>
          <w:sz w:val="32"/>
          <w:szCs w:val="32"/>
          <w:highlight w:val="none"/>
          <w:lang w:val="en-US" w:eastAsia="zh-CN"/>
        </w:rPr>
        <w:t>脱硫废水经中和、混凝沉淀处理达到《污水综合排放标准》（GB8978-1996）要求后回用于脱硫系统，不外排。锅炉排污水、软水处理废水回用于输煤和灰渣抑尘，不外排。</w:t>
      </w:r>
    </w:p>
    <w:p w14:paraId="38A7967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yellow"/>
          <w:lang w:val="en-US" w:eastAsia="zh-CN"/>
        </w:rPr>
      </w:pPr>
      <w:r>
        <w:rPr>
          <w:rFonts w:hint="eastAsia" w:eastAsia="仿宋_GB2312" w:cs="Times New Roman"/>
          <w:sz w:val="32"/>
          <w:szCs w:val="32"/>
          <w:highlight w:val="none"/>
          <w:lang w:val="en-US" w:eastAsia="zh-CN"/>
        </w:rPr>
        <w:t>项目应</w:t>
      </w:r>
      <w:r>
        <w:rPr>
          <w:rFonts w:hint="default" w:ascii="Times New Roman" w:hAnsi="Times New Roman" w:eastAsia="仿宋_GB2312" w:cs="Times New Roman"/>
          <w:sz w:val="32"/>
          <w:szCs w:val="32"/>
          <w:highlight w:val="none"/>
          <w:lang w:val="en-US" w:eastAsia="zh-CN"/>
        </w:rPr>
        <w:t>严格落实地下水分区防渗措施，</w:t>
      </w:r>
      <w:r>
        <w:rPr>
          <w:rFonts w:hint="eastAsia" w:eastAsia="仿宋_GB2312" w:cs="Times New Roman"/>
          <w:sz w:val="32"/>
          <w:szCs w:val="32"/>
          <w:highlight w:val="none"/>
          <w:lang w:val="en-US" w:eastAsia="zh-CN"/>
        </w:rPr>
        <w:t>脱硫间沉淀池</w:t>
      </w:r>
      <w:r>
        <w:rPr>
          <w:rFonts w:hint="default" w:ascii="Times New Roman" w:hAnsi="Times New Roman" w:eastAsia="仿宋_GB2312" w:cs="Times New Roman"/>
          <w:sz w:val="32"/>
          <w:szCs w:val="32"/>
          <w:highlight w:val="none"/>
          <w:lang w:val="en-US" w:eastAsia="zh-CN"/>
        </w:rPr>
        <w:t>为重点防渗区，等效黏土防渗层厚度Mb≥1.5m，K≤10</w:t>
      </w:r>
      <w:r>
        <w:rPr>
          <w:rFonts w:hint="default" w:ascii="Times New Roman" w:hAnsi="Times New Roman" w:eastAsia="仿宋_GB2312" w:cs="Times New Roman"/>
          <w:sz w:val="32"/>
          <w:szCs w:val="32"/>
          <w:highlight w:val="none"/>
          <w:vertAlign w:val="superscript"/>
          <w:lang w:val="en-US" w:eastAsia="zh-CN"/>
        </w:rPr>
        <w:t>-7</w:t>
      </w:r>
      <w:r>
        <w:rPr>
          <w:rFonts w:hint="default" w:ascii="Times New Roman" w:hAnsi="Times New Roman" w:eastAsia="仿宋_GB2312" w:cs="Times New Roman"/>
          <w:sz w:val="32"/>
          <w:szCs w:val="32"/>
          <w:highlight w:val="none"/>
          <w:lang w:val="en-US" w:eastAsia="zh-CN"/>
        </w:rPr>
        <w:t>cm/s</w:t>
      </w:r>
      <w:r>
        <w:rPr>
          <w:rFonts w:hint="eastAsia" w:eastAsia="仿宋_GB2312" w:cs="Times New Roman"/>
          <w:sz w:val="32"/>
          <w:szCs w:val="32"/>
          <w:highlight w:val="none"/>
          <w:lang w:val="en-US" w:eastAsia="zh-CN"/>
        </w:rPr>
        <w:t>。锅炉房、厂区道路等进行</w:t>
      </w:r>
      <w:r>
        <w:rPr>
          <w:rFonts w:hint="default" w:ascii="Times New Roman" w:hAnsi="Times New Roman" w:eastAsia="仿宋_GB2312" w:cs="Times New Roman"/>
          <w:sz w:val="32"/>
          <w:szCs w:val="32"/>
          <w:highlight w:val="none"/>
          <w:lang w:val="en-US" w:eastAsia="zh-CN"/>
        </w:rPr>
        <w:t>一般地面硬化</w:t>
      </w:r>
      <w:r>
        <w:rPr>
          <w:rFonts w:hint="eastAsia" w:ascii="Times New Roman" w:hAnsi="Times New Roman" w:eastAsia="仿宋_GB2312" w:cs="Times New Roman"/>
          <w:sz w:val="32"/>
          <w:szCs w:val="32"/>
          <w:highlight w:val="none"/>
          <w:lang w:val="en-US" w:eastAsia="zh-CN"/>
        </w:rPr>
        <w:t>。</w:t>
      </w:r>
    </w:p>
    <w:p w14:paraId="0DA6245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yellow"/>
        </w:rPr>
      </w:pPr>
      <w:r>
        <w:rPr>
          <w:rFonts w:hint="default" w:ascii="Times New Roman" w:hAnsi="Times New Roman" w:eastAsia="楷体_GB2312" w:cs="Times New Roman"/>
          <w:color w:val="000000"/>
          <w:kern w:val="2"/>
          <w:sz w:val="32"/>
          <w:szCs w:val="32"/>
          <w:highlight w:val="none"/>
          <w:lang w:val="en-US" w:eastAsia="zh-CN" w:bidi="ar-SA"/>
        </w:rPr>
        <w:t>（四）声环境影响及保护措施。</w:t>
      </w:r>
      <w:r>
        <w:rPr>
          <w:rFonts w:hint="eastAsia" w:ascii="Times New Roman" w:hAnsi="Times New Roman" w:eastAsia="仿宋_GB2312" w:cs="Times New Roman"/>
          <w:color w:val="auto"/>
          <w:sz w:val="32"/>
          <w:szCs w:val="32"/>
          <w:highlight w:val="none"/>
          <w:lang w:val="en-US" w:eastAsia="zh-CN"/>
        </w:rPr>
        <w:t>选用低噪声设备，</w:t>
      </w:r>
      <w:r>
        <w:rPr>
          <w:rFonts w:hint="eastAsia" w:eastAsia="仿宋_GB2312" w:cs="Times New Roman"/>
          <w:color w:val="auto"/>
          <w:sz w:val="32"/>
          <w:szCs w:val="32"/>
          <w:highlight w:val="none"/>
          <w:lang w:val="en-US" w:eastAsia="zh-CN"/>
        </w:rPr>
        <w:t>采取减振、隔声等降噪措施，</w:t>
      </w:r>
      <w:r>
        <w:rPr>
          <w:rFonts w:hint="eastAsia" w:ascii="Times New Roman" w:hAnsi="Times New Roman" w:eastAsia="仿宋_GB2312" w:cs="Times New Roman"/>
          <w:color w:val="auto"/>
          <w:sz w:val="32"/>
          <w:szCs w:val="32"/>
          <w:highlight w:val="none"/>
          <w:lang w:val="en-US" w:eastAsia="zh-CN"/>
        </w:rPr>
        <w:t>加强厂区运输管理，</w:t>
      </w:r>
      <w:r>
        <w:rPr>
          <w:rFonts w:hint="eastAsia" w:eastAsia="仿宋_GB2312" w:cs="Times New Roman"/>
          <w:color w:val="auto"/>
          <w:sz w:val="32"/>
          <w:szCs w:val="32"/>
          <w:highlight w:val="none"/>
          <w:lang w:val="en-US" w:eastAsia="zh-CN"/>
        </w:rPr>
        <w:t>合理安排运输时间，</w:t>
      </w:r>
      <w:r>
        <w:rPr>
          <w:rFonts w:hint="default" w:ascii="Times New Roman" w:hAnsi="Times New Roman" w:eastAsia="仿宋_GB2312" w:cs="Times New Roman"/>
          <w:sz w:val="32"/>
          <w:szCs w:val="32"/>
          <w:highlight w:val="none"/>
          <w:lang w:eastAsia="zh-CN"/>
        </w:rPr>
        <w:t>厂界噪声应符合《工业企业厂界环境噪声排放标准》（GB12348-2008）中</w:t>
      </w:r>
      <w:r>
        <w:rPr>
          <w:rFonts w:hint="eastAsia"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类标准要求</w:t>
      </w:r>
      <w:r>
        <w:rPr>
          <w:rFonts w:hint="eastAsia" w:eastAsia="仿宋_GB2312" w:cs="Times New Roman"/>
          <w:sz w:val="32"/>
          <w:szCs w:val="32"/>
          <w:highlight w:val="none"/>
          <w:lang w:eastAsia="zh-CN"/>
        </w:rPr>
        <w:t>。</w:t>
      </w:r>
    </w:p>
    <w:p w14:paraId="240114F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楷体_GB2312" w:cs="Times New Roman"/>
          <w:color w:val="000000"/>
          <w:kern w:val="2"/>
          <w:sz w:val="32"/>
          <w:szCs w:val="32"/>
          <w:highlight w:val="none"/>
          <w:lang w:val="en-US" w:eastAsia="zh-CN" w:bidi="ar-SA"/>
        </w:rPr>
        <w:t>（五）固体废物环境影响及保护措施。</w:t>
      </w:r>
      <w:r>
        <w:rPr>
          <w:rFonts w:hint="default" w:ascii="Times New Roman" w:hAnsi="Times New Roman" w:eastAsia="仿宋_GB2312" w:cs="Times New Roman"/>
          <w:color w:val="auto"/>
          <w:kern w:val="0"/>
          <w:sz w:val="32"/>
          <w:szCs w:val="32"/>
          <w:highlight w:val="none"/>
          <w:lang w:val="en-US" w:eastAsia="zh-CN" w:bidi="ar-SA"/>
        </w:rPr>
        <w:t>锅炉灰渣和脱硫副产物</w:t>
      </w:r>
      <w:r>
        <w:rPr>
          <w:rFonts w:hint="eastAsia" w:eastAsia="仿宋_GB2312" w:cs="Times New Roman"/>
          <w:color w:val="auto"/>
          <w:kern w:val="0"/>
          <w:sz w:val="32"/>
          <w:szCs w:val="32"/>
          <w:highlight w:val="none"/>
          <w:lang w:val="en-US" w:eastAsia="zh-CN" w:bidi="ar-SA"/>
        </w:rPr>
        <w:t>分别集中收集，定期外售综合利用。石灰仓收集的粉尘回用于生产。废布袋、废离子交换树脂由厂家更换后直接回收处置，不在场区贮存。废包装袋集中收集，定期外售。废矿物油、废含油抹布及手套、废矿物油桶、化验废液分别收集后暂存于危险废物</w:t>
      </w:r>
      <w:r>
        <w:rPr>
          <w:rFonts w:hint="eastAsia" w:ascii="Times New Roman" w:hAnsi="Times New Roman" w:eastAsia="仿宋_GB2312" w:cs="Times New Roman"/>
          <w:color w:val="auto"/>
          <w:kern w:val="0"/>
          <w:sz w:val="32"/>
          <w:szCs w:val="32"/>
          <w:highlight w:val="none"/>
          <w:lang w:val="en-US" w:eastAsia="zh-CN" w:bidi="ar-SA"/>
        </w:rPr>
        <w:t>贮存库，定期</w:t>
      </w:r>
      <w:r>
        <w:rPr>
          <w:rFonts w:hint="eastAsia" w:eastAsia="仿宋_GB2312" w:cs="Times New Roman"/>
          <w:color w:val="auto"/>
          <w:kern w:val="0"/>
          <w:sz w:val="32"/>
          <w:szCs w:val="32"/>
          <w:highlight w:val="none"/>
          <w:lang w:val="en-US" w:eastAsia="zh-CN" w:bidi="ar-SA"/>
        </w:rPr>
        <w:t>委托</w:t>
      </w:r>
      <w:r>
        <w:rPr>
          <w:rFonts w:hint="eastAsia" w:ascii="Times New Roman" w:hAnsi="Times New Roman" w:eastAsia="仿宋_GB2312" w:cs="Times New Roman"/>
          <w:color w:val="auto"/>
          <w:kern w:val="0"/>
          <w:sz w:val="32"/>
          <w:szCs w:val="32"/>
          <w:highlight w:val="none"/>
          <w:lang w:val="en-US" w:eastAsia="zh-CN" w:bidi="ar-SA"/>
        </w:rPr>
        <w:t>有资质单位处置。</w:t>
      </w:r>
    </w:p>
    <w:p w14:paraId="72895D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楷体_GB2312" w:cs="Times New Roman"/>
          <w:color w:val="000000"/>
          <w:kern w:val="2"/>
          <w:sz w:val="32"/>
          <w:szCs w:val="32"/>
          <w:highlight w:val="none"/>
          <w:lang w:val="en-US" w:eastAsia="zh-CN" w:bidi="ar-SA"/>
        </w:rPr>
        <w:t>（六）环境风险及保护措施。</w:t>
      </w:r>
      <w:r>
        <w:rPr>
          <w:rFonts w:hint="default" w:ascii="Times New Roman" w:hAnsi="Times New Roman" w:eastAsia="仿宋_GB2312" w:cs="Times New Roman"/>
          <w:color w:val="auto"/>
          <w:kern w:val="0"/>
          <w:sz w:val="32"/>
          <w:szCs w:val="32"/>
          <w:highlight w:val="none"/>
          <w:lang w:val="en-US" w:eastAsia="zh-CN" w:bidi="ar-SA"/>
        </w:rPr>
        <w:t>项目应严格落实《报告</w:t>
      </w:r>
      <w:r>
        <w:rPr>
          <w:rFonts w:hint="eastAsia" w:eastAsia="仿宋_GB2312" w:cs="Times New Roman"/>
          <w:color w:val="auto"/>
          <w:kern w:val="0"/>
          <w:sz w:val="32"/>
          <w:szCs w:val="32"/>
          <w:highlight w:val="none"/>
          <w:lang w:val="en-US" w:eastAsia="zh-CN" w:bidi="ar-SA"/>
        </w:rPr>
        <w:t>书</w:t>
      </w:r>
      <w:r>
        <w:rPr>
          <w:rFonts w:hint="default" w:ascii="Times New Roman" w:hAnsi="Times New Roman" w:eastAsia="仿宋_GB2312" w:cs="Times New Roman"/>
          <w:color w:val="auto"/>
          <w:kern w:val="0"/>
          <w:sz w:val="32"/>
          <w:szCs w:val="32"/>
          <w:highlight w:val="none"/>
          <w:lang w:val="en-US" w:eastAsia="zh-CN" w:bidi="ar-SA"/>
        </w:rPr>
        <w:t>》中提出的风险防范措施，编制环境风险应急预案，加强风险点位预警、预防，防止风险事故发生。</w:t>
      </w:r>
    </w:p>
    <w:p w14:paraId="677D9E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三、你单位应建立企业内部生态环境管理机构和制度，明确人员和职责，加强生态环境管理。</w:t>
      </w:r>
      <w:r>
        <w:rPr>
          <w:rFonts w:hint="default" w:ascii="Times New Roman" w:hAnsi="Times New Roman" w:eastAsia="仿宋_GB2312" w:cs="Times New Roman"/>
          <w:color w:val="auto"/>
          <w:sz w:val="32"/>
          <w:szCs w:val="32"/>
        </w:rPr>
        <w:t>项目实施必须严格执行</w:t>
      </w:r>
      <w:r>
        <w:rPr>
          <w:rFonts w:hint="eastAsia" w:eastAsia="仿宋_GB2312" w:cs="Times New Roman"/>
          <w:color w:val="auto"/>
          <w:sz w:val="32"/>
          <w:szCs w:val="32"/>
          <w:lang w:eastAsia="zh-CN"/>
        </w:rPr>
        <w:t>生态</w:t>
      </w:r>
      <w:r>
        <w:rPr>
          <w:rFonts w:hint="default" w:ascii="Times New Roman" w:hAnsi="Times New Roman" w:eastAsia="仿宋_GB2312" w:cs="Times New Roman"/>
          <w:color w:val="auto"/>
          <w:sz w:val="32"/>
          <w:szCs w:val="32"/>
        </w:rPr>
        <w:t>环境保护设施与主体工程同时设计、同时施工、同时投产使用的</w:t>
      </w:r>
      <w:r>
        <w:rPr>
          <w:rFonts w:hint="eastAsia" w:eastAsia="仿宋_GB2312" w:cs="Times New Roman"/>
          <w:color w:val="auto"/>
          <w:sz w:val="32"/>
          <w:szCs w:val="32"/>
          <w:lang w:eastAsia="zh-CN"/>
        </w:rPr>
        <w:t>生态</w:t>
      </w:r>
      <w:r>
        <w:rPr>
          <w:rFonts w:hint="default" w:ascii="Times New Roman" w:hAnsi="Times New Roman" w:eastAsia="仿宋_GB2312" w:cs="Times New Roman"/>
          <w:color w:val="auto"/>
          <w:sz w:val="32"/>
          <w:szCs w:val="32"/>
        </w:rPr>
        <w:t>环境保护“三同时”制度。</w:t>
      </w:r>
      <w:r>
        <w:rPr>
          <w:rFonts w:hint="default" w:ascii="Times New Roman" w:hAnsi="Times New Roman" w:eastAsia="仿宋_GB2312" w:cs="Times New Roman"/>
          <w:color w:val="auto"/>
          <w:sz w:val="32"/>
          <w:szCs w:val="32"/>
          <w:highlight w:val="none"/>
        </w:rPr>
        <w:t>在启动生产设施或者在实际排污之前，建设单位应依法履行排污许可手续。项目建成后，应按规定程序实施竣工环境保护验收</w:t>
      </w:r>
      <w:r>
        <w:rPr>
          <w:rFonts w:hint="default" w:ascii="Times New Roman" w:hAnsi="Times New Roman" w:eastAsia="仿宋_GB2312" w:cs="Times New Roman"/>
          <w:color w:val="auto"/>
          <w:sz w:val="32"/>
          <w:szCs w:val="32"/>
          <w:highlight w:val="none"/>
          <w:lang w:eastAsia="zh-CN"/>
        </w:rPr>
        <w:t>。</w:t>
      </w:r>
    </w:p>
    <w:p w14:paraId="3CE1504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kern w:val="0"/>
          <w:sz w:val="32"/>
          <w:szCs w:val="32"/>
          <w:highlight w:val="none"/>
        </w:rPr>
        <w:t>四</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sz w:val="32"/>
          <w:szCs w:val="32"/>
          <w:highlight w:val="none"/>
        </w:rPr>
        <w:t>报告</w:t>
      </w:r>
      <w:r>
        <w:rPr>
          <w:rFonts w:hint="eastAsia" w:eastAsia="仿宋_GB2312" w:cs="Times New Roman"/>
          <w:sz w:val="32"/>
          <w:szCs w:val="32"/>
          <w:highlight w:val="none"/>
          <w:lang w:eastAsia="zh-CN"/>
        </w:rPr>
        <w:t>书</w:t>
      </w:r>
      <w:r>
        <w:rPr>
          <w:rFonts w:hint="default" w:ascii="Times New Roman" w:hAnsi="Times New Roman" w:eastAsia="仿宋_GB2312" w:cs="Times New Roman"/>
          <w:sz w:val="32"/>
          <w:szCs w:val="32"/>
          <w:highlight w:val="none"/>
        </w:rPr>
        <w:t>》经批准后，</w:t>
      </w:r>
      <w:r>
        <w:rPr>
          <w:rFonts w:hint="default" w:ascii="Times New Roman" w:hAnsi="Times New Roman" w:eastAsia="仿宋_GB2312" w:cs="Times New Roman"/>
          <w:color w:val="auto"/>
          <w:sz w:val="32"/>
          <w:szCs w:val="32"/>
        </w:rPr>
        <w:t>建设项目的性质、规模、地点、采用的生产工艺或者防治污染、防止生态破坏的措施发生重大变动的，应当重新报批该项目的《报告</w:t>
      </w:r>
      <w:r>
        <w:rPr>
          <w:rFonts w:hint="eastAsia" w:eastAsia="仿宋_GB2312" w:cs="Times New Roman"/>
          <w:color w:val="auto"/>
          <w:sz w:val="32"/>
          <w:szCs w:val="32"/>
          <w:lang w:eastAsia="zh-CN"/>
        </w:rPr>
        <w:t>书</w:t>
      </w:r>
      <w:r>
        <w:rPr>
          <w:rFonts w:hint="default" w:ascii="Times New Roman" w:hAnsi="Times New Roman" w:eastAsia="仿宋_GB2312" w:cs="Times New Roman"/>
          <w:color w:val="auto"/>
          <w:sz w:val="32"/>
          <w:szCs w:val="32"/>
        </w:rPr>
        <w:t>》</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自《报告</w:t>
      </w:r>
      <w:r>
        <w:rPr>
          <w:rFonts w:hint="eastAsia" w:eastAsia="仿宋_GB2312" w:cs="Times New Roman"/>
          <w:sz w:val="32"/>
          <w:szCs w:val="32"/>
          <w:highlight w:val="none"/>
          <w:lang w:eastAsia="zh-CN"/>
        </w:rPr>
        <w:t>书</w:t>
      </w:r>
      <w:r>
        <w:rPr>
          <w:rFonts w:hint="default" w:ascii="Times New Roman" w:hAnsi="Times New Roman" w:eastAsia="仿宋_GB2312" w:cs="Times New Roman"/>
          <w:sz w:val="32"/>
          <w:szCs w:val="32"/>
          <w:highlight w:val="none"/>
        </w:rPr>
        <w:t>》批复文件批准之日起，如超过5年方决定开工建设的，《报告</w:t>
      </w:r>
      <w:r>
        <w:rPr>
          <w:rFonts w:hint="eastAsia" w:eastAsia="仿宋_GB2312" w:cs="Times New Roman"/>
          <w:sz w:val="32"/>
          <w:szCs w:val="32"/>
          <w:highlight w:val="none"/>
          <w:lang w:eastAsia="zh-CN"/>
        </w:rPr>
        <w:t>书</w:t>
      </w:r>
      <w:r>
        <w:rPr>
          <w:rFonts w:hint="default" w:ascii="Times New Roman" w:hAnsi="Times New Roman" w:eastAsia="仿宋_GB2312" w:cs="Times New Roman"/>
          <w:sz w:val="32"/>
          <w:szCs w:val="32"/>
          <w:highlight w:val="none"/>
        </w:rPr>
        <w:t>》应当重新审核。</w:t>
      </w:r>
    </w:p>
    <w:p w14:paraId="33C50EE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color w:val="auto"/>
          <w:sz w:val="32"/>
          <w:szCs w:val="32"/>
          <w:highlight w:val="none"/>
          <w:lang w:val="en-US" w:eastAsia="zh-CN"/>
        </w:rPr>
        <w:t>五</w:t>
      </w:r>
      <w:r>
        <w:rPr>
          <w:rFonts w:hint="default" w:ascii="Times New Roman" w:hAnsi="Times New Roman" w:eastAsia="仿宋_GB2312" w:cs="Times New Roman"/>
          <w:color w:val="auto"/>
          <w:sz w:val="32"/>
          <w:szCs w:val="32"/>
          <w:highlight w:val="none"/>
          <w:lang w:eastAsia="zh-CN"/>
        </w:rPr>
        <w:t>、鸡西市</w:t>
      </w:r>
      <w:r>
        <w:rPr>
          <w:rFonts w:hint="eastAsia" w:eastAsia="仿宋_GB2312" w:cs="Times New Roman"/>
          <w:color w:val="auto"/>
          <w:sz w:val="32"/>
          <w:szCs w:val="32"/>
          <w:highlight w:val="none"/>
          <w:lang w:val="en-US" w:eastAsia="zh-CN"/>
        </w:rPr>
        <w:t>梨树</w:t>
      </w:r>
      <w:r>
        <w:rPr>
          <w:rFonts w:hint="default" w:ascii="Times New Roman" w:hAnsi="Times New Roman" w:eastAsia="仿宋_GB2312" w:cs="Times New Roman"/>
          <w:color w:val="auto"/>
          <w:sz w:val="32"/>
          <w:szCs w:val="32"/>
          <w:highlight w:val="none"/>
          <w:lang w:eastAsia="zh-CN"/>
        </w:rPr>
        <w:t>生态环境局组织开展该项目环境保护事中事后监管工作。你单位应在收到本批复后10日内，将批准后的《</w:t>
      </w:r>
      <w:r>
        <w:rPr>
          <w:rFonts w:hint="default" w:ascii="Times New Roman" w:hAnsi="Times New Roman" w:eastAsia="仿宋_GB2312" w:cs="Times New Roman"/>
          <w:color w:val="auto"/>
          <w:sz w:val="32"/>
          <w:szCs w:val="32"/>
          <w:highlight w:val="none"/>
          <w:lang w:val="en-US" w:eastAsia="zh-CN"/>
        </w:rPr>
        <w:t>报告</w:t>
      </w:r>
      <w:r>
        <w:rPr>
          <w:rFonts w:hint="eastAsia" w:eastAsia="仿宋_GB2312" w:cs="Times New Roman"/>
          <w:color w:val="auto"/>
          <w:sz w:val="32"/>
          <w:szCs w:val="32"/>
          <w:highlight w:val="none"/>
          <w:lang w:val="en-US" w:eastAsia="zh-CN"/>
        </w:rPr>
        <w:t>书</w:t>
      </w:r>
      <w:r>
        <w:rPr>
          <w:rFonts w:hint="default" w:ascii="Times New Roman" w:hAnsi="Times New Roman" w:eastAsia="仿宋_GB2312" w:cs="Times New Roman"/>
          <w:color w:val="auto"/>
          <w:sz w:val="32"/>
          <w:szCs w:val="32"/>
          <w:highlight w:val="none"/>
          <w:lang w:eastAsia="zh-CN"/>
        </w:rPr>
        <w:t>》和批复文件送至鸡西市</w:t>
      </w:r>
      <w:r>
        <w:rPr>
          <w:rFonts w:hint="eastAsia" w:eastAsia="仿宋_GB2312" w:cs="Times New Roman"/>
          <w:color w:val="auto"/>
          <w:sz w:val="32"/>
          <w:szCs w:val="32"/>
          <w:highlight w:val="none"/>
          <w:lang w:val="en-US" w:eastAsia="zh-CN"/>
        </w:rPr>
        <w:t>梨树</w:t>
      </w:r>
      <w:r>
        <w:rPr>
          <w:rFonts w:hint="default" w:ascii="Times New Roman" w:hAnsi="Times New Roman" w:eastAsia="仿宋_GB2312" w:cs="Times New Roman"/>
          <w:color w:val="auto"/>
          <w:sz w:val="32"/>
          <w:szCs w:val="32"/>
          <w:highlight w:val="none"/>
          <w:lang w:eastAsia="zh-CN"/>
        </w:rPr>
        <w:t>生态环境局，并按规定接受各级生态环境主管部门的日常监督检查。</w:t>
      </w:r>
    </w:p>
    <w:p w14:paraId="76B9DA3E">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yellow"/>
        </w:rPr>
      </w:pPr>
    </w:p>
    <w:p w14:paraId="366B1924">
      <w:pPr>
        <w:pStyle w:val="7"/>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sz w:val="32"/>
          <w:szCs w:val="32"/>
          <w:highlight w:val="yellow"/>
        </w:rPr>
      </w:pPr>
    </w:p>
    <w:p w14:paraId="51E72A28">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righ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鸡西市生态环境局</w:t>
      </w:r>
    </w:p>
    <w:p w14:paraId="55988B7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16</w:t>
      </w:r>
      <w:r>
        <w:rPr>
          <w:rFonts w:hint="default" w:ascii="Times New Roman" w:hAnsi="Times New Roman" w:eastAsia="仿宋_GB2312" w:cs="Times New Roman"/>
          <w:sz w:val="32"/>
          <w:szCs w:val="32"/>
          <w:highlight w:val="none"/>
        </w:rPr>
        <w:t>日</w:t>
      </w:r>
    </w:p>
    <w:p w14:paraId="16DCE7DA">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yellow"/>
        </w:rPr>
      </w:pPr>
    </w:p>
    <w:p w14:paraId="761F2932">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yellow"/>
        </w:rPr>
      </w:pPr>
    </w:p>
    <w:p w14:paraId="4C1163C7">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sz w:val="32"/>
          <w:szCs w:val="32"/>
          <w:highlight w:val="yellow"/>
        </w:rPr>
      </w:pPr>
    </w:p>
    <w:p w14:paraId="00CCF0A3">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sz w:val="32"/>
          <w:szCs w:val="32"/>
          <w:highlight w:val="yellow"/>
        </w:rPr>
      </w:pPr>
    </w:p>
    <w:p w14:paraId="3E2B6147">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抄 送：鸡西市生</w:t>
      </w:r>
      <w:r>
        <w:rPr>
          <w:rFonts w:hint="default" w:ascii="Times New Roman" w:hAnsi="Times New Roman" w:eastAsia="仿宋_GB2312" w:cs="Times New Roman"/>
          <w:kern w:val="0"/>
          <w:sz w:val="32"/>
          <w:szCs w:val="32"/>
          <w:highlight w:val="none"/>
        </w:rPr>
        <w:t>态环境保护综合行政执法局</w:t>
      </w:r>
      <w:r>
        <w:rPr>
          <w:rFonts w:hint="default" w:ascii="Times New Roman" w:hAnsi="Times New Roman" w:eastAsia="仿宋_GB2312" w:cs="Times New Roman"/>
          <w:kern w:val="0"/>
          <w:sz w:val="32"/>
          <w:szCs w:val="32"/>
          <w:highlight w:val="none"/>
          <w:lang w:val="en-US" w:eastAsia="zh-CN"/>
        </w:rPr>
        <w:t xml:space="preserve">  </w:t>
      </w:r>
      <w:r>
        <w:rPr>
          <w:rFonts w:hint="default" w:ascii="Times New Roman" w:hAnsi="Times New Roman" w:eastAsia="仿宋_GB2312" w:cs="Times New Roman"/>
          <w:sz w:val="32"/>
          <w:szCs w:val="32"/>
          <w:highlight w:val="none"/>
        </w:rPr>
        <w:t>鸡西</w:t>
      </w:r>
      <w:r>
        <w:rPr>
          <w:rFonts w:hint="default" w:ascii="Times New Roman" w:hAnsi="Times New Roman" w:eastAsia="仿宋_GB2312" w:cs="Times New Roman"/>
          <w:sz w:val="32"/>
          <w:szCs w:val="32"/>
          <w:highlight w:val="none"/>
          <w:lang w:val="en-US" w:eastAsia="zh-CN"/>
        </w:rPr>
        <w:t>市</w:t>
      </w:r>
      <w:r>
        <w:rPr>
          <w:rFonts w:hint="eastAsia" w:eastAsia="仿宋_GB2312" w:cs="Times New Roman"/>
          <w:color w:val="auto"/>
          <w:sz w:val="32"/>
          <w:szCs w:val="32"/>
          <w:highlight w:val="none"/>
          <w:lang w:val="en-US" w:eastAsia="zh-CN"/>
        </w:rPr>
        <w:t>梨树</w:t>
      </w:r>
      <w:r>
        <w:rPr>
          <w:rFonts w:hint="default" w:ascii="Times New Roman" w:hAnsi="Times New Roman" w:eastAsia="仿宋_GB2312" w:cs="Times New Roman"/>
          <w:sz w:val="32"/>
          <w:szCs w:val="32"/>
          <w:highlight w:val="none"/>
        </w:rPr>
        <w:t>生态环境局</w:t>
      </w:r>
    </w:p>
    <w:p w14:paraId="5FEAE5C0">
      <w:pPr>
        <w:keepNext w:val="0"/>
        <w:keepLines w:val="0"/>
        <w:pageBreakBefore w:val="0"/>
        <w:widowControl w:val="0"/>
        <w:pBdr>
          <w:bottom w:val="single" w:color="auto" w:sz="4" w:space="0"/>
        </w:pBdr>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鸡西市生态环境局办公室</w:t>
      </w:r>
      <w:r>
        <w:rPr>
          <w:rFonts w:hint="default" w:ascii="Times New Roman" w:hAnsi="Times New Roman" w:eastAsia="仿宋_GB2312" w:cs="Times New Roman"/>
          <w:sz w:val="32"/>
          <w:szCs w:val="32"/>
          <w:highlight w:val="none"/>
          <w:lang w:eastAsia="zh-CN"/>
        </w:rPr>
        <w:t>（法规科）</w:t>
      </w:r>
      <w:r>
        <w:rPr>
          <w:rFonts w:hint="default" w:ascii="Times New Roman" w:hAnsi="Times New Roman" w:eastAsia="仿宋_GB2312" w:cs="Times New Roman"/>
          <w:sz w:val="32"/>
          <w:szCs w:val="32"/>
          <w:highlight w:val="none"/>
        </w:rPr>
        <w:t xml:space="preserve"> 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10</w:t>
      </w:r>
      <w:r>
        <w:rPr>
          <w:rFonts w:hint="default" w:ascii="Times New Roman" w:hAnsi="Times New Roman" w:eastAsia="仿宋_GB2312" w:cs="Times New Roman"/>
          <w:kern w:val="0"/>
          <w:sz w:val="32"/>
          <w:szCs w:val="32"/>
          <w:highlight w:val="none"/>
        </w:rPr>
        <w:t>月</w:t>
      </w:r>
      <w:r>
        <w:rPr>
          <w:rFonts w:hint="eastAsia" w:eastAsia="仿宋_GB2312" w:cs="Times New Roman"/>
          <w:kern w:val="0"/>
          <w:sz w:val="32"/>
          <w:szCs w:val="32"/>
          <w:highlight w:val="none"/>
          <w:lang w:val="en-US" w:eastAsia="zh-CN"/>
        </w:rPr>
        <w:t>16日</w:t>
      </w:r>
      <w:r>
        <w:rPr>
          <w:rFonts w:hint="default" w:ascii="Times New Roman" w:hAnsi="Times New Roman" w:eastAsia="仿宋_GB2312" w:cs="Times New Roman"/>
          <w:sz w:val="32"/>
          <w:szCs w:val="32"/>
          <w:highlight w:val="none"/>
        </w:rPr>
        <w:t>印发</w:t>
      </w:r>
    </w:p>
    <w:p w14:paraId="621D8BA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共印8份</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85A58">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31445"/>
                      </a:xfrm>
                      <a:prstGeom prst="rect">
                        <a:avLst/>
                      </a:prstGeom>
                      <a:noFill/>
                      <a:ln w="9525" cap="flat" cmpd="sng">
                        <a:noFill/>
                        <a:prstDash val="solid"/>
                        <a:round/>
                      </a:ln>
                    </wps:spPr>
                    <wps:txbx>
                      <w:txbxContent>
                        <w:p w14:paraId="333843D0">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tpqi0AAAAAMBAAAPAAAAAAAAAAEAIAAAACIAAABkcnMvZG93bnJldi54&#10;bWxQSwECFAAUAAAACACHTuJA3iJrBQICAADzAwAADgAAAAAAAAABACAAAAAfAQAAZHJzL2Uyb0Rv&#10;Yy54bWxQSwUGAAAAAAYABgBZAQAAkwUAAAAA&#10;">
              <v:fill on="f" focussize="0,0"/>
              <v:stroke on="f" joinstyle="round"/>
              <v:imagedata o:title=""/>
              <o:lock v:ext="edit" aspectratio="f"/>
              <v:textbox inset="0mm,0mm,0mm,0mm" style="mso-fit-shape-to-text:t;">
                <w:txbxContent>
                  <w:p w14:paraId="333843D0">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C31E2"/>
    <w:multiLevelType w:val="singleLevel"/>
    <w:tmpl w:val="DFFC31E2"/>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OTZkYTY0YzY2NWYyNzQ0NTEzMmJlMWQ5ZTU0MzcwMTEifQ=="/>
  </w:docVars>
  <w:rsids>
    <w:rsidRoot w:val="00000000"/>
    <w:rsid w:val="026305F6"/>
    <w:rsid w:val="16ADB038"/>
    <w:rsid w:val="1D79498D"/>
    <w:rsid w:val="1FB74E2B"/>
    <w:rsid w:val="24AD42C8"/>
    <w:rsid w:val="2765D42A"/>
    <w:rsid w:val="2FDDA564"/>
    <w:rsid w:val="32DF1C9A"/>
    <w:rsid w:val="3AEB541F"/>
    <w:rsid w:val="4FE14379"/>
    <w:rsid w:val="5BDC0AF8"/>
    <w:rsid w:val="5BF82E46"/>
    <w:rsid w:val="5BFC4F03"/>
    <w:rsid w:val="5C03530A"/>
    <w:rsid w:val="5FD36834"/>
    <w:rsid w:val="5FFDC097"/>
    <w:rsid w:val="617F4E6E"/>
    <w:rsid w:val="62FE9AD5"/>
    <w:rsid w:val="6BFDB92B"/>
    <w:rsid w:val="6D3E0186"/>
    <w:rsid w:val="6D7E0B3C"/>
    <w:rsid w:val="6F8389DD"/>
    <w:rsid w:val="6FFEE3E5"/>
    <w:rsid w:val="77DF75B1"/>
    <w:rsid w:val="77FF2149"/>
    <w:rsid w:val="77FF607B"/>
    <w:rsid w:val="78FC1A15"/>
    <w:rsid w:val="7B57B9BE"/>
    <w:rsid w:val="7DCFC69E"/>
    <w:rsid w:val="7DF5B1B7"/>
    <w:rsid w:val="7F3FBB7E"/>
    <w:rsid w:val="7F78DBBB"/>
    <w:rsid w:val="7FF324FC"/>
    <w:rsid w:val="9F7F5CB5"/>
    <w:rsid w:val="ADFDDEFD"/>
    <w:rsid w:val="B40D77AC"/>
    <w:rsid w:val="BDFE8CBC"/>
    <w:rsid w:val="BEE7A6FF"/>
    <w:rsid w:val="BEFE0F26"/>
    <w:rsid w:val="BF5BB6E9"/>
    <w:rsid w:val="BFBF018D"/>
    <w:rsid w:val="C0741FAD"/>
    <w:rsid w:val="CB66E200"/>
    <w:rsid w:val="DBF71B58"/>
    <w:rsid w:val="DEF7B0A3"/>
    <w:rsid w:val="DEFD280E"/>
    <w:rsid w:val="EBB58304"/>
    <w:rsid w:val="EE9E1132"/>
    <w:rsid w:val="EFD56F21"/>
    <w:rsid w:val="EFEB49B1"/>
    <w:rsid w:val="F3AD0ED9"/>
    <w:rsid w:val="F3EF6B70"/>
    <w:rsid w:val="F73F7156"/>
    <w:rsid w:val="F7825E57"/>
    <w:rsid w:val="F9775AB4"/>
    <w:rsid w:val="FEB9346B"/>
    <w:rsid w:val="FECD8831"/>
    <w:rsid w:val="FF5EC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22"/>
    <w:qFormat/>
    <w:uiPriority w:val="0"/>
    <w:pPr>
      <w:keepNext/>
      <w:keepLines/>
      <w:spacing w:before="260" w:after="260" w:line="415" w:lineRule="auto"/>
      <w:outlineLvl w:val="2"/>
    </w:pPr>
    <w:rPr>
      <w:b/>
      <w:bCs/>
      <w:sz w:val="32"/>
      <w:szCs w:val="32"/>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rPr>
      <w:spacing w:val="22"/>
      <w:sz w:val="24"/>
      <w:szCs w:val="24"/>
    </w:rPr>
  </w:style>
  <w:style w:type="paragraph" w:customStyle="1" w:styleId="7">
    <w:name w:val="Normal (Web)1"/>
    <w:basedOn w:val="1"/>
    <w:next w:val="8"/>
    <w:qFormat/>
    <w:uiPriority w:val="0"/>
    <w:pPr>
      <w:widowControl/>
      <w:jc w:val="left"/>
    </w:pPr>
    <w:rPr>
      <w:rFonts w:ascii="宋体"/>
      <w:kern w:val="0"/>
      <w:sz w:val="24"/>
      <w:szCs w:val="21"/>
    </w:rPr>
  </w:style>
  <w:style w:type="paragraph" w:customStyle="1" w:styleId="8">
    <w:name w:val="Date1"/>
    <w:basedOn w:val="1"/>
    <w:next w:val="1"/>
    <w:qFormat/>
    <w:uiPriority w:val="99"/>
    <w:pPr>
      <w:ind w:left="2500" w:leftChars="2500"/>
    </w:pPr>
  </w:style>
  <w:style w:type="paragraph" w:styleId="9">
    <w:name w:val="Body Text Indent"/>
    <w:basedOn w:val="1"/>
    <w:qFormat/>
    <w:uiPriority w:val="0"/>
    <w:pPr>
      <w:spacing w:after="120"/>
      <w:ind w:left="420"/>
    </w:pPr>
  </w:style>
  <w:style w:type="paragraph" w:styleId="10">
    <w:name w:val="List Bullet 5"/>
    <w:basedOn w:val="1"/>
    <w:qFormat/>
    <w:uiPriority w:val="0"/>
    <w:pPr>
      <w:numPr>
        <w:ilvl w:val="0"/>
        <w:numId w:val="1"/>
      </w:numP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widowControl/>
      <w:spacing w:after="100" w:line="276" w:lineRule="auto"/>
      <w:ind w:left="220"/>
      <w:jc w:val="left"/>
    </w:pPr>
    <w:rPr>
      <w:rFonts w:ascii="Calibri" w:hAnsi="Calibri"/>
      <w:kern w:val="0"/>
      <w:sz w:val="22"/>
      <w:szCs w:val="22"/>
    </w:r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w:basedOn w:val="6"/>
    <w:next w:val="1"/>
    <w:qFormat/>
    <w:uiPriority w:val="0"/>
    <w:pPr>
      <w:ind w:firstLine="100" w:firstLineChars="100"/>
    </w:pPr>
    <w:rPr>
      <w:rFonts w:ascii="Times New Roman" w:hAnsi="Times New Roman"/>
      <w:szCs w:val="24"/>
    </w:rPr>
  </w:style>
  <w:style w:type="paragraph" w:styleId="16">
    <w:name w:val="Body Text First Indent 2"/>
    <w:basedOn w:val="9"/>
    <w:qFormat/>
    <w:uiPriority w:val="0"/>
    <w:pPr>
      <w:ind w:firstLine="420"/>
    </w:pPr>
  </w:style>
  <w:style w:type="table" w:styleId="18">
    <w:name w:val="Table Grid"/>
    <w:basedOn w:val="17"/>
    <w:qFormat/>
    <w:uiPriority w:val="0"/>
    <w:rPr>
      <w:rFonts w:ascii="Times New Roman" w:hAnsi="Times New Roman" w:eastAsia="宋体" w:cs="Times New Roman"/>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heading 1 Char"/>
    <w:basedOn w:val="19"/>
    <w:link w:val="2"/>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9"/>
    <w:link w:val="3"/>
    <w:qFormat/>
    <w:uiPriority w:val="0"/>
    <w:rPr>
      <w:rFonts w:ascii="Times New Roman" w:hAnsi="Times New Roman" w:eastAsia="黑体" w:cs="Times New Roman"/>
      <w:b/>
      <w:bCs/>
      <w:kern w:val="2"/>
      <w:sz w:val="32"/>
      <w:szCs w:val="32"/>
      <w:lang w:val="en-US" w:eastAsia="zh-CN" w:bidi="ar-SA"/>
    </w:rPr>
  </w:style>
  <w:style w:type="character" w:customStyle="1" w:styleId="22">
    <w:name w:val="heading 3 Char"/>
    <w:basedOn w:val="19"/>
    <w:link w:val="4"/>
    <w:qFormat/>
    <w:uiPriority w:val="0"/>
    <w:rPr>
      <w:rFonts w:ascii="Times New Roman" w:hAnsi="Times New Roman" w:eastAsia="宋体" w:cs="Times New Roman"/>
      <w:b/>
      <w:bCs/>
      <w:kern w:val="2"/>
      <w:sz w:val="32"/>
      <w:szCs w:val="32"/>
      <w:lang w:val="en-US" w:eastAsia="zh-CN" w:bidi="ar-SA"/>
    </w:rPr>
  </w:style>
  <w:style w:type="paragraph" w:customStyle="1" w:styleId="23">
    <w:name w:val="报告表  段"/>
    <w:basedOn w:val="1"/>
    <w:qFormat/>
    <w:uiPriority w:val="0"/>
    <w:pPr>
      <w:adjustRightInd w:val="0"/>
      <w:spacing w:line="360" w:lineRule="auto"/>
      <w:ind w:firstLine="505"/>
    </w:pPr>
    <w:rPr>
      <w:rFonts w:ascii="Calibri" w:hAnsi="Calibri" w:cs="宋体"/>
    </w:rPr>
  </w:style>
  <w:style w:type="paragraph" w:styleId="24">
    <w:name w:val="List Paragraph"/>
    <w:basedOn w:val="1"/>
    <w:qFormat/>
    <w:uiPriority w:val="0"/>
    <w:pPr>
      <w:ind w:firstLine="200" w:firstLineChars="200"/>
    </w:pPr>
  </w:style>
  <w:style w:type="paragraph" w:customStyle="1" w:styleId="25">
    <w:name w:val="表格(新)"/>
    <w:basedOn w:val="1"/>
    <w:qFormat/>
    <w:uiPriority w:val="0"/>
    <w:pPr>
      <w:adjustRightInd w:val="0"/>
      <w:snapToGrid w:val="0"/>
      <w:spacing w:line="240" w:lineRule="auto"/>
      <w:ind w:firstLine="0"/>
      <w:jc w:val="center"/>
    </w:pPr>
    <w:rPr>
      <w:rFonts w:hAnsi="宋体" w:eastAsia="宋体"/>
      <w:sz w:val="21"/>
      <w:szCs w:val="21"/>
    </w:rPr>
  </w:style>
  <w:style w:type="paragraph" w:customStyle="1" w:styleId="26">
    <w:name w:val="a正文"/>
    <w:basedOn w:val="27"/>
    <w:qFormat/>
    <w:uiPriority w:val="0"/>
    <w:pPr>
      <w:spacing w:line="520" w:lineRule="exact"/>
      <w:ind w:firstLine="200" w:firstLineChars="200"/>
    </w:pPr>
    <w:rPr>
      <w:kern w:val="0"/>
      <w:sz w:val="24"/>
      <w:szCs w:val="21"/>
    </w:rPr>
  </w:style>
  <w:style w:type="paragraph" w:customStyle="1" w:styleId="27">
    <w:name w:val="正文格式"/>
    <w:basedOn w:val="1"/>
    <w:qFormat/>
    <w:uiPriority w:val="0"/>
    <w:pPr>
      <w:ind w:firstLine="482"/>
    </w:pPr>
  </w:style>
  <w:style w:type="paragraph" w:customStyle="1" w:styleId="28">
    <w:name w:val="表表头"/>
    <w:basedOn w:val="1"/>
    <w:qFormat/>
    <w:uiPriority w:val="0"/>
    <w:pPr>
      <w:ind w:firstLine="0" w:firstLineChars="0"/>
      <w:jc w:val="center"/>
    </w:pPr>
    <w:rPr>
      <w:rFonts w:eastAsia="黑体"/>
    </w:rPr>
  </w:style>
  <w:style w:type="paragraph" w:customStyle="1" w:styleId="29">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4</Pages>
  <Words>1827</Words>
  <Characters>2021</Characters>
  <Lines>0</Lines>
  <Paragraphs>42</Paragraphs>
  <TotalTime>1</TotalTime>
  <ScaleCrop>false</ScaleCrop>
  <LinksUpToDate>false</LinksUpToDate>
  <CharactersWithSpaces>2091</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2024-08-18T19:25:00Z</dcterms:created>
  <dc:creator>01</dc:creator>
  <cp:lastModifiedBy>greatwall</cp:lastModifiedBy>
  <cp:lastPrinted>2026-10-16T00:28:00Z</cp:lastPrinted>
  <dcterms:modified xsi:type="dcterms:W3CDTF">2026-10-16T10:27:55Z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F8A8FC6485204F208B7A012680CDA19A_13</vt:lpwstr>
  </property>
  <property fmtid="{D5CDD505-2E9C-101B-9397-08002B2CF9AE}" pid="4" name="KSOTemplateDocerSaveRecord">
    <vt:lpwstr>eyJoZGlkIjoiOTAwYTM1MDRmMTRiYjlmODNjMjE1NGMyOTkxMjg1MTEiLCJ1c2VySWQiOiI4NzY5MDY1MTcifQ==</vt:lpwstr>
  </property>
</Properties>
</file>